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11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Bio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firstLine="0"/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Experienced User Experience Design Lead with 4+ years in tech and consulting, driving enterprise platform innovation through user-centric design, functional leadership, and cross-sector strategy. Proven ability to deliver award-winning solutions in public and private sectors.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11" w:lineRule="auto"/>
        <w:rPr>
          <w:b w:val="1"/>
          <w:bCs w:val="1"/>
          <w:sz w:val="19"/>
          <w:szCs w:val="19"/>
          <w:u w:val="single"/>
        </w:rPr>
      </w:pPr>
      <w:bookmarkStart w:colFirst="0" w:colLast="0" w:name="_arbfgqff3tx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11" w:lineRule="auto"/>
        <w:rPr>
          <w:b w:val="1"/>
          <w:bCs w:val="1"/>
          <w:sz w:val="19"/>
          <w:szCs w:val="19"/>
          <w:u w:val="single"/>
        </w:rPr>
      </w:pPr>
      <w:bookmarkStart w:colFirst="0" w:colLast="0" w:name="_gjdgxs" w:id="1"/>
      <w:bookmarkEnd w:id="1"/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05">
      <w:pPr>
        <w:spacing w:line="211" w:lineRule="auto"/>
        <w:rPr>
          <w:b w:val="1"/>
          <w:bCs w:val="1"/>
          <w:sz w:val="19"/>
          <w:szCs w:val="19"/>
        </w:rPr>
      </w:pPr>
      <w:bookmarkStart w:colFirst="0" w:colLast="0" w:name="_1xii7qlavlfq" w:id="2"/>
      <w:bookmarkEnd w:id="2"/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      Deloitte Experience</w:t>
      </w:r>
    </w:p>
    <w:p w:rsidR="00000000" w:rsidDel="00000000" w:rsidP="00000000" w:rsidRDefault="00000000" w:rsidRPr="00000000" w14:paraId="00000006">
      <w:pPr>
        <w:spacing w:line="211" w:lineRule="auto"/>
        <w:rPr>
          <w:b w:val="1"/>
          <w:bCs w:val="1"/>
          <w:i w:val="1"/>
          <w:iCs w:val="1"/>
          <w:sz w:val="18"/>
          <w:szCs w:val="18"/>
        </w:rPr>
      </w:pPr>
      <w:bookmarkStart w:colFirst="0" w:colLast="0" w:name="_h5iydynaaknj" w:id="3"/>
      <w:bookmarkEnd w:id="3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Client- Arizon</w:t>
      </w: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a Integrated Eligibility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11" w:lineRule="auto"/>
        <w:ind w:firstLine="360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User Experience Design Lead - Functional Lead                                                                                                   </w:t>
      </w:r>
      <w:r w:rsidDel="00000000" w:rsidR="00000000" w:rsidRPr="00000000">
        <w:rPr>
          <w:sz w:val="18"/>
          <w:szCs w:val="18"/>
          <w:rtl w:val="0"/>
        </w:rPr>
        <w:t xml:space="preserve">         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July 2024–</w:t>
      </w: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spacing w:after="0" w:afterAutospacing="0" w:before="10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Enabled 61K+ residents to access aid by leading UX design for statewide platforms. Unified cross-team collaboration as the functional lead, mentoring junior designers, and guiding deliverables. </w:t>
      </w:r>
      <w:r w:rsidDel="00000000" w:rsidR="00000000" w:rsidRPr="00000000">
        <w:rPr>
          <w:sz w:val="18"/>
          <w:szCs w:val="18"/>
          <w:rtl w:val="0"/>
        </w:rPr>
        <w:t xml:space="preserve">(</w:t>
      </w: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atoz.az.gov</w:t>
        </w:r>
      </w:hyperlink>
      <w:r w:rsidDel="00000000" w:rsidR="00000000" w:rsidRPr="00000000">
        <w:rPr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Streamlined communication and drove deliverables across multidisciplinary teams.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Advanced statewide transformation and shaped executive buy-in through roadmap presentations.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Delivered wireframes, prototypes, and UI specs by translating user research into actionable design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11" w:lineRule="auto"/>
        <w:ind w:left="0" w:firstLine="0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    </w:t>
      </w: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 Client- Wisconsin DHS AFH/HCBS</w:t>
      </w:r>
    </w:p>
    <w:p w:rsidR="00000000" w:rsidDel="00000000" w:rsidP="00000000" w:rsidRDefault="00000000" w:rsidRPr="00000000" w14:paraId="0000000D">
      <w:pPr>
        <w:spacing w:line="211" w:lineRule="auto"/>
        <w:ind w:firstLine="360"/>
        <w:rPr>
          <w:b w:val="1"/>
          <w:b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User Experience Design Lead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October 2023–July 2024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before="10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Achieved a 30% reduction in application intake time for 4,000+ staff through targeted UX redesign and rapid prototyping.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Delivered a more intuitive application platform by synthesizing expert input, user testing, and stakeholder feedback.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Accelerated portal feature rollout by leveraging Salesforce solutions and custom components for rapid prototyping.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11" w:lineRule="auto"/>
        <w:ind w:firstLine="360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Client- USPS CX Vision Activation</w:t>
      </w:r>
    </w:p>
    <w:p w:rsidR="00000000" w:rsidDel="00000000" w:rsidP="00000000" w:rsidRDefault="00000000" w:rsidRPr="00000000" w14:paraId="00000012">
      <w:pPr>
        <w:spacing w:line="211" w:lineRule="auto"/>
        <w:ind w:left="36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Human Centered Design/Service Design Consultant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July 2023–October 2023</w:t>
      </w:r>
      <w:r w:rsidDel="00000000" w:rsidR="00000000" w:rsidRPr="00000000">
        <w:rPr>
          <w:sz w:val="18"/>
          <w:szCs w:val="18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0" w:afterAutospacing="0" w:before="10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Designed 100+ service blueprints, powering a 20% rise in operational efficiency and a 15% boost in satisfaction across channels.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Improved staff training and onboarding by implementing journey maps and scenarios for easier adoption of new service principles.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Enabled USPS to deliver a unified customer experience across multiple channels, ensuring satisfaction at every touchpoint.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360" w:firstLine="0"/>
        <w:jc w:val="both"/>
        <w:rPr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Client- National Hispanic/LatinX Human Centered Design DEI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11" w:lineRule="auto"/>
        <w:ind w:firstLine="360"/>
        <w:jc w:val="both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User Experience Designer Consultant</w:t>
      </w: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18"/>
          <w:szCs w:val="18"/>
          <w:rtl w:val="0"/>
        </w:rPr>
        <w:tab/>
        <w:t xml:space="preserve">              April 2023–July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after="0" w:afterAutospacing="0" w:before="10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Enabled data-driven improvements to employee well-being for 65,000-110,000 </w:t>
      </w:r>
      <w:r w:rsidDel="00000000" w:rsidR="00000000" w:rsidRPr="00000000">
        <w:rPr>
          <w:sz w:val="18"/>
          <w:szCs w:val="18"/>
          <w:rtl w:val="0"/>
        </w:rPr>
        <w:t xml:space="preserve"> of Deloitte’s US workforce</w:t>
      </w:r>
      <w:r w:rsidDel="00000000" w:rsidR="00000000" w:rsidRPr="00000000">
        <w:rPr>
          <w:sz w:val="18"/>
          <w:szCs w:val="18"/>
          <w:rtl w:val="0"/>
        </w:rPr>
        <w:t xml:space="preserve"> through actionable HLx HCD reports and solutions.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Led research with 300+ HLx </w:t>
      </w:r>
      <w:r w:rsidDel="00000000" w:rsidR="00000000" w:rsidRPr="00000000">
        <w:rPr>
          <w:sz w:val="18"/>
          <w:szCs w:val="18"/>
          <w:rtl w:val="0"/>
        </w:rPr>
        <w:t xml:space="preserve">professionals by delivering</w:t>
      </w:r>
      <w:r w:rsidDel="00000000" w:rsidR="00000000" w:rsidRPr="00000000">
        <w:rPr>
          <w:sz w:val="18"/>
          <w:szCs w:val="18"/>
          <w:rtl w:val="0"/>
        </w:rPr>
        <w:t xml:space="preserve"> insights that informed strategic decision-making for Deloitte leadership.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Facilitated journey mapping workshops and interviews with cross-business stakeholders to expand process improvements.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Identified growth opportunities by synthesizing qualitative and quantitative data, developing personas, and refining journey maps.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11" w:lineRule="auto"/>
        <w:ind w:firstLine="360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Client- Deloitte US Talent Transformation</w:t>
      </w:r>
    </w:p>
    <w:p w:rsidR="00000000" w:rsidDel="00000000" w:rsidP="00000000" w:rsidRDefault="00000000" w:rsidRPr="00000000" w14:paraId="0000001D">
      <w:pPr>
        <w:spacing w:line="211" w:lineRule="auto"/>
        <w:ind w:firstLine="360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User Experience Designer Analyst</w:t>
      </w: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  <w:t xml:space="preserve">                   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January 2022–March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afterAutospacing="0" w:before="10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Improved engagement and satisfaction for thousands of practitioners by leading UX design for a major HR and talent platform.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Enhanced system usability by interviewing 40+ users, conducting heuristic evaluations, and designing wireframes.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Increased stakeholder buy-in and accelerated feature adoption by presenting evidence-based design solutions and leading usability testing for prototype validation.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11" w:lineRule="auto"/>
        <w:ind w:firstLine="36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Lextant</w:t>
      </w:r>
    </w:p>
    <w:p w:rsidR="00000000" w:rsidDel="00000000" w:rsidP="00000000" w:rsidRDefault="00000000" w:rsidRPr="00000000" w14:paraId="00000022">
      <w:pPr>
        <w:spacing w:line="211" w:lineRule="auto"/>
        <w:ind w:firstLine="360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User Research Consultant</w:t>
      </w: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 xml:space="preserve">                         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September 2021–December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before="100" w:lineRule="auto"/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Led user interviews and usability tests. Gathered actionable insights that directly contributed to UX improvements.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11" w:lineRule="auto"/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11" w:lineRule="auto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EDUCATION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11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Savannah College of Art and Design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,</w:t>
      </w:r>
      <w:r w:rsidDel="00000000" w:rsidR="00000000" w:rsidRPr="00000000">
        <w:rPr>
          <w:sz w:val="18"/>
          <w:szCs w:val="18"/>
          <w:rtl w:val="0"/>
        </w:rPr>
        <w:t xml:space="preserve"> Savan</w:t>
      </w:r>
      <w:r w:rsidDel="00000000" w:rsidR="00000000" w:rsidRPr="00000000">
        <w:rPr>
          <w:sz w:val="18"/>
          <w:szCs w:val="18"/>
          <w:rtl w:val="0"/>
        </w:rPr>
        <w:t xml:space="preserve">nah, GA                                                                             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August 2018-May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1" w:lineRule="auto"/>
        <w:ind w:left="720" w:firstLine="0"/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Bachelor of Fine Arts in User Experience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Design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- Magna Cum Laude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11" w:lineRule="auto"/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11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afterAutospacing="0" w:before="12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Indigo Design Awards, 2021 (Gold / Silver / Bronze ac</w:t>
      </w:r>
      <w:r w:rsidDel="00000000" w:rsidR="00000000" w:rsidRPr="00000000">
        <w:rPr>
          <w:sz w:val="18"/>
          <w:szCs w:val="18"/>
          <w:rtl w:val="0"/>
        </w:rPr>
        <w:t xml:space="preserve">ross UX, mobile, interaction)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Red Dot: Brands &amp; Communication Design Award,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1" w:lineRule="auto"/>
        <w:ind w:left="0" w:firstLine="0"/>
        <w:rPr>
          <w:b w:val="1"/>
          <w:bCs w:val="1"/>
          <w:sz w:val="19"/>
          <w:szCs w:val="19"/>
          <w:u w:val="single"/>
        </w:rPr>
      </w:pPr>
      <w:r w:rsidDel="00000000" w:rsidR="00000000" w:rsidRPr="00000000">
        <w:rPr>
          <w:b w:val="1"/>
          <w:bCs w:val="1"/>
          <w:sz w:val="19"/>
          <w:szCs w:val="19"/>
          <w:u w:val="single"/>
          <w:rtl w:val="0"/>
        </w:rPr>
        <w:t xml:space="preserve">Skills &amp; Tools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1" w:lineRule="auto"/>
        <w:ind w:left="720" w:hanging="360"/>
        <w:rPr>
          <w:sz w:val="18"/>
          <w:szCs w:val="18"/>
          <w:u w:val="singl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5840" w:w="12240" w:orient="portrait"/>
          <w:pgMar w:bottom="0" w:top="1152" w:left="1008" w:right="1008" w:header="144" w:footer="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11" w:lineRule="auto"/>
        <w:ind w:left="720" w:hanging="360"/>
        <w:rPr>
          <w:rFonts w:ascii="Times New Roman" w:cs="Times New Roman" w:eastAsia="Times New Roman" w:hAnsi="Times New Roman"/>
          <w:color w:val="000000"/>
          <w:sz w:val="18"/>
          <w:szCs w:val="18"/>
        </w:rPr>
        <w:sectPr>
          <w:type w:val="continuous"/>
          <w:pgSz w:h="15840" w:w="12240" w:orient="portrait"/>
          <w:pgMar w:bottom="0" w:top="1152" w:left="1008" w:right="1008" w:header="144" w:footer="0"/>
          <w:cols w:equalWidth="0" w:num="2">
            <w:col w:space="720" w:w="4752"/>
            <w:col w:space="0" w:w="4752"/>
          </w:cols>
        </w:sect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Skills</w:t>
      </w:r>
      <w:r w:rsidDel="00000000" w:rsidR="00000000" w:rsidRPr="00000000">
        <w:rPr>
          <w:color w:val="000000"/>
          <w:sz w:val="18"/>
          <w:szCs w:val="18"/>
          <w:u w:val="singl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UX/UI D</w:t>
      </w:r>
      <w:r w:rsidDel="00000000" w:rsidR="00000000" w:rsidRPr="00000000">
        <w:rPr>
          <w:sz w:val="18"/>
          <w:szCs w:val="18"/>
          <w:rtl w:val="0"/>
        </w:rPr>
        <w:t xml:space="preserve">esign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Interaction Design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Wireframing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User Interface Prototyping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Remote &amp; Cross-functional Team Management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Visualization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Branding and Identity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Graphic Design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User Testing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Product Ideation &amp; Strategy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3"/>
        </w:numPr>
        <w:spacing w:after="0" w:afterAutospacing="0"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Design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3"/>
        </w:numPr>
        <w:spacing w:before="0" w:beforeAutospacing="0" w:line="276" w:lineRule="auto"/>
        <w:ind w:left="1440" w:hanging="360"/>
        <w:rPr>
          <w:rFonts w:ascii="Times New Roman" w:cs="Times New Roman" w:eastAsia="Times New Roman" w:hAnsi="Times New Roman"/>
          <w:sz w:val="18"/>
          <w:szCs w:val="18"/>
        </w:rPr>
        <w:sectPr>
          <w:type w:val="continuous"/>
          <w:pgSz w:h="15840" w:w="12240" w:orient="portrait"/>
          <w:pgMar w:bottom="0" w:top="1152" w:left="1008" w:right="1008" w:header="144" w:footer="0"/>
          <w:cols w:equalWidth="0" w:num="2">
            <w:col w:space="720" w:w="4752"/>
            <w:col w:space="0" w:w="4752"/>
          </w:cols>
        </w:sectPr>
      </w:pPr>
      <w:r w:rsidDel="00000000" w:rsidR="00000000" w:rsidRPr="00000000">
        <w:rPr>
          <w:sz w:val="18"/>
          <w:szCs w:val="18"/>
          <w:rtl w:val="0"/>
        </w:rPr>
        <w:t xml:space="preserve">Storyboarding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line="211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Tools;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Figma (wireframes, prototyping)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Adobe XD (wireframes, prototyping)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1"/>
        </w:numPr>
        <w:spacing w:before="0" w:beforeAutospacing="0" w:line="276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Adobe Creative Suite (graphic design)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1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Microsoft Suite (documentation, presentations)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SalesForce (component creation)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"/>
        </w:numPr>
        <w:ind w:left="1440" w:hanging="360"/>
        <w:rPr>
          <w:sz w:val="18"/>
          <w:szCs w:val="18"/>
        </w:rPr>
        <w:sectPr>
          <w:type w:val="continuous"/>
          <w:pgSz w:h="15840" w:w="12240" w:orient="portrait"/>
          <w:pgMar w:bottom="0" w:top="1152" w:left="1008" w:right="1008" w:header="144" w:footer="0"/>
          <w:cols w:equalWidth="0" w:num="2">
            <w:col w:space="720" w:w="4752"/>
            <w:col w:space="0" w:w="4752"/>
          </w:cols>
        </w:sectPr>
      </w:pPr>
      <w:r w:rsidDel="00000000" w:rsidR="00000000" w:rsidRPr="00000000">
        <w:rPr>
          <w:sz w:val="18"/>
          <w:szCs w:val="18"/>
          <w:rtl w:val="0"/>
        </w:rPr>
        <w:t xml:space="preserve">Miro/Mural (Ideation, data visualization)</w:t>
      </w:r>
    </w:p>
    <w:p w:rsidR="00000000" w:rsidDel="00000000" w:rsidP="00000000" w:rsidRDefault="00000000" w:rsidRPr="00000000" w14:paraId="00000042">
      <w:pPr>
        <w:widowControl w:val="0"/>
        <w:spacing w:before="10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1152" w:left="1008" w:right="1008" w:header="14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spacing w:after="80" w:lineRule="auto"/>
      <w:rPr>
        <w:color w:val="000000"/>
        <w:sz w:val="21"/>
        <w:szCs w:val="2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Michael Poliseno</w:t>
    </w:r>
  </w:p>
  <w:p w:rsidR="00000000" w:rsidDel="00000000" w:rsidP="00000000" w:rsidRDefault="00000000" w:rsidRPr="00000000" w14:paraId="00000045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1935 N Logan St, Apt 943 Denver, CO 80203</w:t>
    </w:r>
  </w:p>
  <w:p w:rsidR="00000000" w:rsidDel="00000000" w:rsidP="00000000" w:rsidRDefault="00000000" w:rsidRPr="00000000" w14:paraId="00000046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Phone: (740) 972-6401</w:t>
    </w:r>
  </w:p>
  <w:p w:rsidR="00000000" w:rsidDel="00000000" w:rsidP="00000000" w:rsidRDefault="00000000" w:rsidRPr="00000000" w14:paraId="00000047">
    <w:pPr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Email: maxpolise</w:t>
    </w:r>
    <w:r w:rsidDel="00000000" w:rsidR="00000000" w:rsidRPr="00000000">
      <w:rPr>
        <w:sz w:val="20"/>
        <w:szCs w:val="20"/>
        <w:rtl w:val="0"/>
      </w:rPr>
      <w:t xml:space="preserve">no@gmail.com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after="8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LinkedIn: </w:t>
    </w:r>
    <w:hyperlink r:id="rId1">
      <w:r w:rsidDel="00000000" w:rsidR="00000000" w:rsidRPr="00000000">
        <w:rPr>
          <w:color w:val="1155cc"/>
          <w:sz w:val="20"/>
          <w:szCs w:val="20"/>
          <w:highlight w:val="white"/>
          <w:u w:val="single"/>
          <w:rtl w:val="0"/>
        </w:rPr>
        <w:t xml:space="preserve">www.linkedin.com/in/michael-poliseno-35214117a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after="8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Portfolio: </w:t>
    </w:r>
    <w:hyperlink r:id="rId2">
      <w:r w:rsidDel="00000000" w:rsidR="00000000" w:rsidRPr="00000000">
        <w:rPr>
          <w:color w:val="1155cc"/>
          <w:sz w:val="20"/>
          <w:szCs w:val="20"/>
          <w:highlight w:val="white"/>
          <w:u w:val="single"/>
          <w:rtl w:val="0"/>
        </w:rPr>
        <w:t xml:space="preserve">maxpolisenodesign.com</w:t>
      </w:r>
    </w:hyperlink>
    <w:r w:rsidDel="00000000" w:rsidR="00000000" w:rsidRPr="00000000">
      <w:rPr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http://atoz.az.gov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inkedin.com/in/michael-poliseno-35214117a" TargetMode="External"/><Relationship Id="rId2" Type="http://schemas.openxmlformats.org/officeDocument/2006/relationships/hyperlink" Target="http://maxpolisenodesig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